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B0E" w:rsidRDefault="008F6B0E" w:rsidP="008F6B0E">
      <w:pPr>
        <w:pStyle w:val="Heading3"/>
      </w:pPr>
      <w:r>
        <w:t xml:space="preserve">Solvency 1NC </w:t>
      </w:r>
    </w:p>
    <w:p w:rsidR="008F6B0E" w:rsidRDefault="008F6B0E" w:rsidP="008F6B0E">
      <w:pPr>
        <w:pStyle w:val="Heading4"/>
      </w:pPr>
      <w:r>
        <w:t>Federal agencies already did the plan in 2011 – didn’t solve</w:t>
      </w:r>
    </w:p>
    <w:p w:rsidR="008F6B0E" w:rsidRPr="006542D8" w:rsidRDefault="008F6B0E" w:rsidP="008F6B0E">
      <w:r>
        <w:t xml:space="preserve">Bryan </w:t>
      </w:r>
      <w:r w:rsidRPr="006542D8">
        <w:rPr>
          <w:rStyle w:val="Style13ptBold"/>
        </w:rPr>
        <w:t>Walsh</w:t>
      </w:r>
      <w:r>
        <w:t xml:space="preserve"> – 7/8/</w:t>
      </w:r>
      <w:r w:rsidRPr="006542D8">
        <w:rPr>
          <w:rStyle w:val="Style13ptBold"/>
        </w:rPr>
        <w:t>11</w:t>
      </w:r>
      <w:r>
        <w:t>, senior editor at TIME, Can the U.S. Close Its Seafood Trade Deficit?, TIME, http://science.time.com/2011/07/08/can-the-u-s-close-its-seafood-trade-deficit/print/</w:t>
      </w:r>
    </w:p>
    <w:p w:rsidR="008F6B0E" w:rsidRDefault="008F6B0E" w:rsidP="008F6B0E">
      <w:r w:rsidRPr="006542D8">
        <w:rPr>
          <w:rStyle w:val="StyleUnderline"/>
        </w:rPr>
        <w:t>The federal government has shown signs</w:t>
      </w:r>
      <w:r>
        <w:t xml:space="preserve"> that </w:t>
      </w:r>
      <w:r w:rsidRPr="006542D8">
        <w:rPr>
          <w:rStyle w:val="StyleUnderline"/>
        </w:rPr>
        <w:t>it wants to jumpstart the domestic aquaculture industry</w:t>
      </w:r>
      <w:r>
        <w:t xml:space="preserve">. Last month </w:t>
      </w:r>
      <w:r w:rsidRPr="006542D8">
        <w:rPr>
          <w:rStyle w:val="StyleUnderline"/>
        </w:rPr>
        <w:t>NOAA and the Department of Commerce finalized a new set of national aquaculture guidelines</w:t>
      </w:r>
      <w:r>
        <w:t xml:space="preserve">, </w:t>
      </w:r>
      <w:r w:rsidRPr="006542D8">
        <w:rPr>
          <w:rStyle w:val="StyleUnderline"/>
        </w:rPr>
        <w:t>with particular attention paid to</w:t>
      </w:r>
      <w:r>
        <w:t xml:space="preserve"> growing shellfish production and potentially </w:t>
      </w:r>
      <w:r w:rsidRPr="006542D8">
        <w:rPr>
          <w:rStyle w:val="StyleUnderline"/>
        </w:rPr>
        <w:t xml:space="preserve">opening aquaculture </w:t>
      </w:r>
      <w:r>
        <w:t>in the rich Gulf of Mexico. “</w:t>
      </w:r>
      <w:r w:rsidRPr="006542D8">
        <w:rPr>
          <w:rStyle w:val="StyleUnderline"/>
        </w:rPr>
        <w:t>This is going to provide a national approach to sustainable domestic marine aquaculture,”</w:t>
      </w:r>
      <w:r>
        <w:t xml:space="preserve"> Larry Robinson, the </w:t>
      </w:r>
      <w:r w:rsidRPr="006542D8">
        <w:rPr>
          <w:rStyle w:val="StyleUnderline"/>
        </w:rPr>
        <w:t>assistant secretary for conservation and management at NOAA, told reporters</w:t>
      </w:r>
      <w:r>
        <w:t xml:space="preserve"> last month.” By developing sustainable domestic marine farming we increase food security, keep dollars here and support working waterfronts.” All of those goals are possible, but </w:t>
      </w:r>
      <w:r w:rsidRPr="006542D8">
        <w:rPr>
          <w:rStyle w:val="Emphasis"/>
        </w:rPr>
        <w:t>it’s going to take more than official guidelines</w:t>
      </w:r>
      <w:r>
        <w:t xml:space="preserve">. </w:t>
      </w:r>
      <w:r w:rsidRPr="006542D8">
        <w:rPr>
          <w:rStyle w:val="StyleUnderline"/>
        </w:rPr>
        <w:t xml:space="preserve">Americans will need to decide that a domestic aquaculture industry is </w:t>
      </w:r>
      <w:r>
        <w:t xml:space="preserve">worth having, worth supporting—and worth </w:t>
      </w:r>
      <w:r w:rsidRPr="006542D8">
        <w:rPr>
          <w:rStyle w:val="StyleUnderline"/>
        </w:rPr>
        <w:t>the space</w:t>
      </w:r>
      <w:r>
        <w:t>. “”Fish farming is one of the most efficient ways to produce protein, and we can and should be doing more of it,” says NOAA’s Rubino. “But whether we choose that path remains to be seen.”</w:t>
      </w:r>
    </w:p>
    <w:p w:rsidR="008F6B0E" w:rsidRDefault="008F6B0E" w:rsidP="008F6B0E"/>
    <w:p w:rsidR="008F6B0E" w:rsidRDefault="008F6B0E" w:rsidP="008F6B0E">
      <w:pPr>
        <w:pStyle w:val="Heading4"/>
      </w:pPr>
      <w:r>
        <w:t xml:space="preserve">Plan doesn’t cause commercialization – not economical </w:t>
      </w:r>
    </w:p>
    <w:p w:rsidR="008F6B0E" w:rsidRDefault="008F6B0E" w:rsidP="008F6B0E">
      <w:r>
        <w:t xml:space="preserve">James </w:t>
      </w:r>
      <w:r w:rsidRPr="002D43EE">
        <w:rPr>
          <w:rStyle w:val="Style13ptBold"/>
        </w:rPr>
        <w:t>Kirkley</w:t>
      </w:r>
      <w:r>
        <w:t xml:space="preserve"> – July </w:t>
      </w:r>
      <w:r w:rsidRPr="002D43EE">
        <w:rPr>
          <w:rStyle w:val="Style13ptBold"/>
        </w:rPr>
        <w:t>2008</w:t>
      </w:r>
      <w:r>
        <w:t xml:space="preserve">, Professor of Marine Science in the Department of Fisheries Science at the College of William and Mary, “The Potential Economic Ramifications of Offshore Aquaculture,” Offshore Aquaculture in the United States: Economic Considerations, Implications &amp; Opportunities, http://www.nmfs.noaa.gov/aquaculture/docs/economics_report/econ_report_all.pdf </w:t>
      </w:r>
    </w:p>
    <w:p w:rsidR="008F6B0E" w:rsidRDefault="008F6B0E" w:rsidP="008F6B0E">
      <w:r w:rsidRPr="00FE5C8F">
        <w:rPr>
          <w:rStyle w:val="StyleUnderline"/>
        </w:rPr>
        <w:t>Despite apparent evidence</w:t>
      </w:r>
      <w:r>
        <w:t xml:space="preserve"> that </w:t>
      </w:r>
      <w:r w:rsidRPr="00FE5C8F">
        <w:rPr>
          <w:rStyle w:val="StyleUnderline"/>
        </w:rPr>
        <w:t xml:space="preserve">offshore aquaculture is </w:t>
      </w:r>
      <w:r>
        <w:t xml:space="preserve">not only </w:t>
      </w:r>
      <w:r w:rsidRPr="00FE5C8F">
        <w:rPr>
          <w:rStyle w:val="StyleUnderline"/>
        </w:rPr>
        <w:t>economically feasible</w:t>
      </w:r>
      <w:r>
        <w:t xml:space="preserve"> but also capable of generating substantial contributions to the U.S. economy, </w:t>
      </w:r>
      <w:r w:rsidRPr="00FE5C8F">
        <w:rPr>
          <w:rStyle w:val="StyleUnderline"/>
        </w:rPr>
        <w:t xml:space="preserve">there remain </w:t>
      </w:r>
      <w:r w:rsidRPr="00FE5C8F">
        <w:rPr>
          <w:rStyle w:val="Emphasis"/>
        </w:rPr>
        <w:t>many obstacles</w:t>
      </w:r>
      <w:r w:rsidRPr="00FE5C8F">
        <w:rPr>
          <w:rStyle w:val="StyleUnderline"/>
        </w:rPr>
        <w:t xml:space="preserve"> which may hinder its development and adoption</w:t>
      </w:r>
      <w:r>
        <w:t xml:space="preserve">. In this study, it was demonstrated that production of five species popular with U.S. consumers is economically feasible, provided certain conditions prevailed. Foremost among these conditions is that prices received will hold at certain levels. </w:t>
      </w:r>
      <w:r w:rsidRPr="00FE5C8F">
        <w:rPr>
          <w:rStyle w:val="StyleUnderline"/>
        </w:rPr>
        <w:t>Given the increasing level of imports, it is quite possible that prices received for the primary products will decrease</w:t>
      </w:r>
      <w:r>
        <w:t xml:space="preserve">. Also, if resource conditions do improve in the future, the landings of wild-caught cod and winter flounder would likely expand. The sea scallop resource is already at a high level of biomass. In addition, </w:t>
      </w:r>
      <w:r w:rsidRPr="00FE5C8F">
        <w:rPr>
          <w:rStyle w:val="StyleUnderline"/>
        </w:rPr>
        <w:t>all of the species can be produced near-shore as opposed to offshore, and there are likely to be cost savings for inshore or near-shore operations</w:t>
      </w:r>
      <w:r>
        <w:t xml:space="preserve">. There remain many other concerns which may limit the development of offshore aquaculture outlined in other chapters in this report. </w:t>
      </w:r>
      <w:r w:rsidRPr="00DF2FC9">
        <w:rPr>
          <w:rStyle w:val="StyleUnderline"/>
        </w:rPr>
        <w:t>There are potential uncertainties about obtaining loans, which will be necessary for satisfying up front investment costs. In all instances, these investment costs are quite high and will likely deter individuals or firms from investing in offshore aquaculture. There is considerable uncertainty about what constitutes best management practices</w:t>
      </w:r>
      <w:r>
        <w:t xml:space="preserve"> (BMPs) </w:t>
      </w:r>
      <w:r w:rsidRPr="00DF2FC9">
        <w:rPr>
          <w:rStyle w:val="StyleUnderline"/>
        </w:rPr>
        <w:t>for various operations.</w:t>
      </w:r>
      <w:r>
        <w:t xml:space="preserve"> Present analysis does, however, support the development of offshore aquaculture in waters within 25 nautical miles of shore. Finally, it is concluded that </w:t>
      </w:r>
      <w:r w:rsidRPr="00DF2FC9">
        <w:rPr>
          <w:rStyle w:val="StyleUnderline"/>
        </w:rPr>
        <w:t>operations farther offshore will require larger projects,</w:t>
      </w:r>
      <w:r>
        <w:t xml:space="preserve"> or farms, </w:t>
      </w:r>
      <w:r w:rsidRPr="00DF2FC9">
        <w:rPr>
          <w:rStyle w:val="StyleUnderline"/>
        </w:rPr>
        <w:t>and higher levels of investment</w:t>
      </w:r>
      <w:r>
        <w:t xml:space="preserve">. </w:t>
      </w:r>
    </w:p>
    <w:p w:rsidR="008F6B0E" w:rsidRDefault="008F6B0E" w:rsidP="008F6B0E"/>
    <w:p w:rsidR="008F6B0E" w:rsidRDefault="008F6B0E" w:rsidP="008F6B0E">
      <w:pPr>
        <w:pStyle w:val="Heading4"/>
      </w:pPr>
      <w:r>
        <w:lastRenderedPageBreak/>
        <w:t>States solve in the squo – California proves</w:t>
      </w:r>
    </w:p>
    <w:p w:rsidR="008F6B0E" w:rsidRDefault="008F6B0E" w:rsidP="008F6B0E">
      <w:r>
        <w:t xml:space="preserve">Eric </w:t>
      </w:r>
      <w:r w:rsidRPr="00B8104C">
        <w:rPr>
          <w:rStyle w:val="Style13ptBold"/>
        </w:rPr>
        <w:t>Bradley</w:t>
      </w:r>
      <w:r>
        <w:t xml:space="preserve"> – 1/8/</w:t>
      </w:r>
      <w:r w:rsidRPr="00B8104C">
        <w:rPr>
          <w:rStyle w:val="Style13ptBold"/>
        </w:rPr>
        <w:t>14</w:t>
      </w:r>
      <w:r>
        <w:t>, Press-Telegram, California Coastal Commission approves aquaculture facility off Long Beach shore, http://www.presstelegram.com/business/20140108/california-coastal-commission-approves-aquaculture-facility-off-long-beach-shore</w:t>
      </w:r>
    </w:p>
    <w:p w:rsidR="008F6B0E" w:rsidRDefault="008F6B0E" w:rsidP="008F6B0E">
      <w:r w:rsidRPr="00B8104C">
        <w:rPr>
          <w:rStyle w:val="StyleUnderline"/>
        </w:rPr>
        <w:t>The California Coastal Commission</w:t>
      </w:r>
      <w:r>
        <w:t xml:space="preserve"> on Wednesday </w:t>
      </w:r>
      <w:r w:rsidRPr="00B8104C">
        <w:rPr>
          <w:rStyle w:val="StyleUnderline"/>
        </w:rPr>
        <w:t>approved the state’s first aquaculture farm to be located in federal waters about eight miles offshore</w:t>
      </w:r>
      <w:r>
        <w:t xml:space="preserve"> of Long Beach. Known as Catalina Sea Ranch, the facility by KZO Sea Farms will primarily grow Mediterranean mussels on 45 lines anchored in the sea floor and suspended horizontally by buoys from a depth of a few feet to 200 feet, in a 100-acre patch of ocean near two existing oil production platforms. </w:t>
      </w:r>
      <w:r w:rsidRPr="00B8104C">
        <w:rPr>
          <w:rStyle w:val="StyleUnderline"/>
        </w:rPr>
        <w:t>The willingness of KZO to agree to extensive monitoring for its first-of-a-kind project helped earn unanimous approval from commissioners.</w:t>
      </w:r>
      <w:r>
        <w:rPr>
          <w:rStyle w:val="StyleUnderline"/>
        </w:rPr>
        <w:t xml:space="preserve"> </w:t>
      </w:r>
      <w:r>
        <w:t xml:space="preserve">Phillip Cruver, co-founder of Long Beach-based KZO, said </w:t>
      </w:r>
      <w:r w:rsidRPr="00B8104C">
        <w:rPr>
          <w:rStyle w:val="StyleUnderline"/>
        </w:rPr>
        <w:t>the ranch</w:t>
      </w:r>
      <w:r>
        <w:t xml:space="preserve">, which was previously approved by the U.S. Army Corps of Engineers, </w:t>
      </w:r>
      <w:r w:rsidRPr="00B8104C">
        <w:rPr>
          <w:rStyle w:val="StyleUnderline"/>
        </w:rPr>
        <w:t>will “put a small dent” in the nation’s $10-billion annual seafood importation deficit.</w:t>
      </w:r>
      <w:r>
        <w:rPr>
          <w:rStyle w:val="StyleUnderline"/>
        </w:rPr>
        <w:t xml:space="preserve"> </w:t>
      </w:r>
      <w:r>
        <w:t xml:space="preserve">According to National Marine Fishery Service data, 33.7 million pounds of live farmed mussels were imported into the United States in 2012, most of it from Prince Edward Island in eastern Canada. “We could grow our own (mussels) and save that 3,500 air miles of carbon footprint,” Cruver told the commission. Organizations like Heal the Bay, though not opposed to the project, argued for frequent inspections and video reviews of the site. “I think it’s imperative that </w:t>
      </w:r>
      <w:r w:rsidRPr="00B8104C">
        <w:rPr>
          <w:rStyle w:val="StyleUnderline"/>
        </w:rPr>
        <w:t>we are monitoring almost every aspect of this project</w:t>
      </w:r>
      <w:r>
        <w:t xml:space="preserve">,” said Dana Murray, a Heal the Bay marine and coastal scientist. She also was concerned about KZO’s plan to cultivate nonnative Pacific oysters, but Coastal Commission staff said the species, though not native, has already been introduced to California waters and is the No. 1 planted and harvested oyster in the state. Concerns were ameliorated further when </w:t>
      </w:r>
      <w:r w:rsidRPr="00B8104C">
        <w:rPr>
          <w:rStyle w:val="StyleUnderline"/>
        </w:rPr>
        <w:t>KZO said it would consent to monitoring at the facility beyond the five years outlined in its consistency certification.</w:t>
      </w:r>
      <w:r>
        <w:rPr>
          <w:rStyle w:val="StyleUnderline"/>
        </w:rPr>
        <w:t xml:space="preserve"> </w:t>
      </w:r>
      <w:r>
        <w:t>Catalina Sea Ranch’s business plan calls for six years of operation to produce a good return for investors, though the life of the equipment is 10 years, according to Cruver. He told the Los Angeles News Group last year that the farm could produce 774,000 pounds of mussels and 18,000 pounds of oysters in the first year of operation worth more than $1.5 million.</w:t>
      </w:r>
    </w:p>
    <w:p w:rsidR="008F6B0E" w:rsidRDefault="008F6B0E" w:rsidP="008F6B0E"/>
    <w:p w:rsidR="008F6B0E" w:rsidRDefault="008F6B0E" w:rsidP="008F6B0E">
      <w:pPr>
        <w:pStyle w:val="Heading4"/>
      </w:pPr>
      <w:r>
        <w:t>Regulations not key – scientific hurdles offshore aquaculture development – Gulf proves</w:t>
      </w:r>
    </w:p>
    <w:p w:rsidR="008F6B0E" w:rsidRDefault="008F6B0E" w:rsidP="008F6B0E">
      <w:r>
        <w:t xml:space="preserve">Kristen M. </w:t>
      </w:r>
      <w:r w:rsidRPr="001616D9">
        <w:rPr>
          <w:rStyle w:val="Style13ptBold"/>
        </w:rPr>
        <w:t>Fletcher</w:t>
      </w:r>
      <w:r>
        <w:t xml:space="preserve"> – </w:t>
      </w:r>
      <w:r w:rsidRPr="001616D9">
        <w:rPr>
          <w:rStyle w:val="Style13ptBold"/>
        </w:rPr>
        <w:t>2004</w:t>
      </w:r>
      <w:r>
        <w:t>, Marine Affairs Institute @ Roger Williams University School of Law, Law &amp; Offshore Aquaculture: A True Hurdle or a Speed Bump?, Efforts to Develop a Responsible Offshore Aquaculture Industry in the Gulf of Mexico: A Compendium of Offshore Aquaculture Consortium Research, Bridger, C.J., editor, http://www.oceanrenewable.com/wp-content/uploads/2007/03/law-and-offshore-aquaculture.pdf</w:t>
      </w:r>
    </w:p>
    <w:p w:rsidR="008F6B0E" w:rsidRDefault="008F6B0E" w:rsidP="008F6B0E">
      <w:pPr>
        <w:rPr>
          <w:rStyle w:val="StyleUnderline"/>
        </w:rPr>
      </w:pPr>
      <w:r w:rsidRPr="00B8104C">
        <w:rPr>
          <w:rStyle w:val="StyleUnderline"/>
        </w:rPr>
        <w:t>The legal and regulatory environment surrounding offshore aquaculture is cited consistently as one of the major hurdles to its development in the United States</w:t>
      </w:r>
      <w:r>
        <w:t xml:space="preserve">. </w:t>
      </w:r>
      <w:r w:rsidRPr="00B8104C">
        <w:rPr>
          <w:rStyle w:val="StyleUnderline"/>
        </w:rPr>
        <w:t>Despite the adoption of the National Aquaculture Act in 1980, the lack of a sound legal and regulatory structure is still cited as the culprit for lack of a U.S. industry</w:t>
      </w:r>
      <w:r>
        <w:t xml:space="preserve">. In reality, the present regulatory regime is inadequate because it is based upon laws that were adopted to address issues or industries other than aquaculture. Because aquaculture facilities affect traditionally governed areas such as water supply, the use of navigable waters, food production, and environmental protection, </w:t>
      </w:r>
      <w:r w:rsidRPr="00B8104C">
        <w:rPr>
          <w:rStyle w:val="StyleUnderline"/>
        </w:rPr>
        <w:t xml:space="preserve">multiple federal and state agencies have jurisdiction over the </w:t>
      </w:r>
      <w:r w:rsidRPr="00B8104C">
        <w:rPr>
          <w:rStyle w:val="StyleUnderline"/>
        </w:rPr>
        <w:lastRenderedPageBreak/>
        <w:t>industry</w:t>
      </w:r>
      <w:r>
        <w:t xml:space="preserve">. While these agencies have excelled at regulating and permitting land-based aquaculture regimes with refined and stream-lined licensing procedures and regulations, the offshore aquaculture regulatory structure looks significantly different with no single lead agency and differences in regulations between states and regions. Many claim that these issues must be resolved before a sustainable industry can emerge. </w:t>
      </w:r>
      <w:r w:rsidRPr="00B8104C">
        <w:rPr>
          <w:rStyle w:val="StyleUnderline"/>
        </w:rPr>
        <w:t xml:space="preserve">Law and policy research conducted in tandem with the environmental and technological research of the Gulf of Mexico Offshore Aquaculture Consortium revealed some specific legal mechanisms that need to be addressed but highlighted the reality that </w:t>
      </w:r>
      <w:r w:rsidRPr="00B8104C">
        <w:rPr>
          <w:rStyle w:val="Emphasis"/>
        </w:rPr>
        <w:t>offshore aquaculture can develop within the present structure</w:t>
      </w:r>
      <w:r w:rsidRPr="00B8104C">
        <w:rPr>
          <w:rStyle w:val="StyleUnderline"/>
        </w:rPr>
        <w:t>.</w:t>
      </w:r>
      <w:r>
        <w:t xml:space="preserve"> This chapter describes some of these immediate legal hurdles but concludes that </w:t>
      </w:r>
      <w:r w:rsidRPr="00B8104C">
        <w:rPr>
          <w:rStyle w:val="StyleUnderline"/>
        </w:rPr>
        <w:t xml:space="preserve">political and scientific issues serve as </w:t>
      </w:r>
      <w:r w:rsidRPr="00B8104C">
        <w:rPr>
          <w:rStyle w:val="Emphasis"/>
        </w:rPr>
        <w:t>much greater hurdles</w:t>
      </w:r>
      <w:r w:rsidRPr="00B8104C">
        <w:rPr>
          <w:rStyle w:val="StyleUnderline"/>
        </w:rPr>
        <w:t xml:space="preserve"> than the legal and regulatory regime.</w:t>
      </w:r>
    </w:p>
    <w:p w:rsidR="008F6B0E" w:rsidRDefault="008F6B0E" w:rsidP="008F6B0E">
      <w:pPr>
        <w:rPr>
          <w:rStyle w:val="StyleUnderline"/>
        </w:rPr>
      </w:pPr>
    </w:p>
    <w:p w:rsidR="008F6B0E" w:rsidRPr="00472B28" w:rsidRDefault="008F6B0E" w:rsidP="008F6B0E">
      <w:pPr>
        <w:pStyle w:val="Heading4"/>
      </w:pPr>
      <w:r>
        <w:t xml:space="preserve">Fishing is inevitably doomed – climate change </w:t>
      </w:r>
    </w:p>
    <w:p w:rsidR="008F6B0E" w:rsidRPr="00472B28" w:rsidRDefault="008F6B0E" w:rsidP="008F6B0E">
      <w:r w:rsidRPr="00472B28">
        <w:rPr>
          <w:rStyle w:val="Style13ptBold"/>
        </w:rPr>
        <w:t>MSC</w:t>
      </w:r>
      <w:r w:rsidRPr="00472B28">
        <w:t xml:space="preserve"> Mar 16, 20</w:t>
      </w:r>
      <w:r w:rsidRPr="00472B28">
        <w:rPr>
          <w:rStyle w:val="Style13ptBold"/>
        </w:rPr>
        <w:t>10</w:t>
      </w:r>
      <w:r w:rsidRPr="00472B28">
        <w:t xml:space="preserve"> (Marine Stewardship Council, committed to being the world’s leading certification program for sustainable wild-capture seafood, “Climate change and fish” Mar 16, 2010. </w:t>
      </w:r>
      <w:hyperlink r:id="rId5" w:history="1">
        <w:r w:rsidRPr="00472B28">
          <w:rPr>
            <w:rStyle w:val="Hyperlink"/>
          </w:rPr>
          <w:t>http://www.msc.org/about-us/program-improvements 7/4/14</w:t>
        </w:r>
      </w:hyperlink>
      <w:r w:rsidRPr="00472B28">
        <w:t xml:space="preserve"> J.M.)</w:t>
      </w:r>
    </w:p>
    <w:p w:rsidR="008F6B0E" w:rsidRPr="00472B28" w:rsidRDefault="008F6B0E" w:rsidP="008F6B0E">
      <w:pPr>
        <w:rPr>
          <w:rFonts w:asciiTheme="minorHAnsi" w:hAnsiTheme="minorHAnsi"/>
          <w:sz w:val="16"/>
        </w:rPr>
      </w:pPr>
      <w:r w:rsidRPr="00472B28">
        <w:rPr>
          <w:rStyle w:val="Emphasis"/>
        </w:rPr>
        <w:t>Our oceans and fish stocks may be under threat from changing water temperatures</w:t>
      </w:r>
      <w:r w:rsidRPr="00472B28">
        <w:rPr>
          <w:rFonts w:asciiTheme="minorHAnsi" w:hAnsiTheme="minorHAnsi"/>
          <w:sz w:val="16"/>
        </w:rPr>
        <w:t>. Fisheries and communities around the world could be affected.</w:t>
      </w:r>
      <w:r w:rsidRPr="00472B28">
        <w:rPr>
          <w:rFonts w:asciiTheme="minorHAnsi" w:hAnsiTheme="minorHAnsi"/>
          <w:sz w:val="12"/>
        </w:rPr>
        <w:t>¶</w:t>
      </w:r>
      <w:r w:rsidRPr="00472B28">
        <w:rPr>
          <w:rFonts w:asciiTheme="minorHAnsi" w:hAnsiTheme="minorHAnsi"/>
          <w:sz w:val="16"/>
        </w:rPr>
        <w:t xml:space="preserve"> I</w:t>
      </w:r>
      <w:r w:rsidRPr="00472B28">
        <w:rPr>
          <w:rStyle w:val="StyleUnderline"/>
          <w:rFonts w:asciiTheme="minorHAnsi" w:hAnsiTheme="minorHAnsi"/>
        </w:rPr>
        <w:t>f our climate changes, the temperature of oceans, seas and lakes will change too.</w:t>
      </w:r>
      <w:r w:rsidRPr="00472B28">
        <w:rPr>
          <w:rFonts w:asciiTheme="minorHAnsi" w:hAnsiTheme="minorHAnsi"/>
          <w:sz w:val="16"/>
        </w:rPr>
        <w:t xml:space="preserve"> We don’t yet know the full impact on fishing and marine ecosystems, but it seems likely that </w:t>
      </w:r>
      <w:r w:rsidRPr="00472B28">
        <w:rPr>
          <w:rStyle w:val="StyleUnderline"/>
          <w:rFonts w:asciiTheme="minorHAnsi" w:hAnsiTheme="minorHAnsi"/>
        </w:rPr>
        <w:t>vulnerable marine species will be under more pressure</w:t>
      </w:r>
      <w:r w:rsidRPr="00472B28">
        <w:rPr>
          <w:rFonts w:asciiTheme="minorHAnsi" w:hAnsiTheme="minorHAnsi"/>
          <w:sz w:val="16"/>
        </w:rPr>
        <w:t>.</w:t>
      </w:r>
      <w:r w:rsidRPr="00472B28">
        <w:rPr>
          <w:rFonts w:asciiTheme="minorHAnsi" w:hAnsiTheme="minorHAnsi"/>
          <w:sz w:val="12"/>
        </w:rPr>
        <w:t>¶</w:t>
      </w:r>
      <w:r w:rsidRPr="00472B28">
        <w:rPr>
          <w:rFonts w:asciiTheme="minorHAnsi" w:hAnsiTheme="minorHAnsi"/>
          <w:sz w:val="16"/>
        </w:rPr>
        <w:t xml:space="preserve"> </w:t>
      </w:r>
      <w:r w:rsidRPr="00472B28">
        <w:rPr>
          <w:rStyle w:val="StyleUnderline"/>
          <w:rFonts w:asciiTheme="minorHAnsi" w:hAnsiTheme="minorHAnsi"/>
        </w:rPr>
        <w:t>Many fisheries will be seriously affected as the ecosystems that underpin them face new and uncertain challenges</w:t>
      </w:r>
      <w:r w:rsidRPr="00472B28">
        <w:rPr>
          <w:rFonts w:asciiTheme="minorHAnsi" w:hAnsiTheme="minorHAnsi"/>
          <w:sz w:val="16"/>
        </w:rPr>
        <w:t>.</w:t>
      </w:r>
      <w:r w:rsidRPr="00472B28">
        <w:rPr>
          <w:rFonts w:asciiTheme="minorHAnsi" w:hAnsiTheme="minorHAnsi"/>
          <w:sz w:val="12"/>
        </w:rPr>
        <w:t>¶</w:t>
      </w:r>
      <w:r w:rsidRPr="00472B28">
        <w:rPr>
          <w:rFonts w:asciiTheme="minorHAnsi" w:hAnsiTheme="minorHAnsi"/>
          <w:sz w:val="16"/>
        </w:rPr>
        <w:t xml:space="preserve"> How will climate change affect fish and fisheries?</w:t>
      </w:r>
      <w:r w:rsidRPr="00472B28">
        <w:rPr>
          <w:rFonts w:asciiTheme="minorHAnsi" w:hAnsiTheme="minorHAnsi"/>
          <w:sz w:val="12"/>
        </w:rPr>
        <w:t>¶</w:t>
      </w:r>
      <w:r w:rsidRPr="00472B28">
        <w:rPr>
          <w:rFonts w:asciiTheme="minorHAnsi" w:hAnsiTheme="minorHAnsi"/>
          <w:sz w:val="16"/>
        </w:rPr>
        <w:t xml:space="preserve"> </w:t>
      </w:r>
      <w:r w:rsidRPr="00472B28">
        <w:rPr>
          <w:rStyle w:val="StyleUnderline"/>
          <w:rFonts w:asciiTheme="minorHAnsi" w:hAnsiTheme="minorHAnsi"/>
        </w:rPr>
        <w:t>The Intergovernmental Panel on Climate Change predicts that</w:t>
      </w:r>
      <w:r w:rsidRPr="00472B28">
        <w:rPr>
          <w:rFonts w:asciiTheme="minorHAnsi" w:hAnsiTheme="minorHAnsi"/>
          <w:sz w:val="16"/>
        </w:rPr>
        <w:t>:</w:t>
      </w:r>
      <w:r w:rsidRPr="00472B28">
        <w:rPr>
          <w:rFonts w:asciiTheme="minorHAnsi" w:hAnsiTheme="minorHAnsi"/>
          <w:sz w:val="12"/>
        </w:rPr>
        <w:t>¶</w:t>
      </w:r>
      <w:r w:rsidRPr="00472B28">
        <w:rPr>
          <w:rFonts w:asciiTheme="minorHAnsi" w:hAnsiTheme="minorHAnsi"/>
          <w:sz w:val="16"/>
        </w:rPr>
        <w:t xml:space="preserve"> </w:t>
      </w:r>
      <w:r w:rsidRPr="00472B28">
        <w:rPr>
          <w:rStyle w:val="Emphasis"/>
        </w:rPr>
        <w:t>as sea temperatures change, fish numbers will change and fish will move</w:t>
      </w:r>
      <w:r w:rsidRPr="00472B28">
        <w:rPr>
          <w:rStyle w:val="StyleUnderline"/>
          <w:rFonts w:asciiTheme="minorHAnsi" w:hAnsiTheme="minorHAnsi"/>
        </w:rPr>
        <w:t xml:space="preserve"> to different areas</w:t>
      </w:r>
      <w:r w:rsidRPr="00472B28">
        <w:rPr>
          <w:rFonts w:asciiTheme="minorHAnsi" w:hAnsiTheme="minorHAnsi"/>
          <w:sz w:val="12"/>
        </w:rPr>
        <w:t>¶</w:t>
      </w:r>
      <w:r w:rsidRPr="00472B28">
        <w:rPr>
          <w:rFonts w:asciiTheme="minorHAnsi" w:hAnsiTheme="minorHAnsi"/>
          <w:sz w:val="16"/>
        </w:rPr>
        <w:t xml:space="preserve"> </w:t>
      </w:r>
      <w:r w:rsidRPr="00472B28">
        <w:rPr>
          <w:rStyle w:val="StyleUnderline"/>
          <w:rFonts w:asciiTheme="minorHAnsi" w:hAnsiTheme="minorHAnsi"/>
        </w:rPr>
        <w:t xml:space="preserve">some </w:t>
      </w:r>
      <w:r w:rsidRPr="00472B28">
        <w:rPr>
          <w:rStyle w:val="Emphasis"/>
        </w:rPr>
        <w:t>species will go extinct</w:t>
      </w:r>
      <w:r w:rsidRPr="00472B28">
        <w:rPr>
          <w:rStyle w:val="StyleUnderline"/>
          <w:rFonts w:asciiTheme="minorHAnsi" w:hAnsiTheme="minorHAnsi"/>
        </w:rPr>
        <w:t xml:space="preserve"> in particular areas</w:t>
      </w:r>
      <w:r w:rsidRPr="00472B28">
        <w:rPr>
          <w:rFonts w:asciiTheme="minorHAnsi" w:hAnsiTheme="minorHAnsi"/>
          <w:sz w:val="12"/>
        </w:rPr>
        <w:t>¶</w:t>
      </w:r>
      <w:r w:rsidRPr="00472B28">
        <w:rPr>
          <w:rFonts w:asciiTheme="minorHAnsi" w:hAnsiTheme="minorHAnsi"/>
          <w:sz w:val="16"/>
        </w:rPr>
        <w:t xml:space="preserve"> </w:t>
      </w:r>
      <w:r w:rsidRPr="00472B28">
        <w:rPr>
          <w:rStyle w:val="Emphasis"/>
        </w:rPr>
        <w:t>predators and prey will move to different areas, disrupting food chains</w:t>
      </w:r>
      <w:r w:rsidRPr="00472B28">
        <w:rPr>
          <w:rFonts w:asciiTheme="minorHAnsi" w:hAnsiTheme="minorHAnsi"/>
          <w:sz w:val="12"/>
        </w:rPr>
        <w:t>¶</w:t>
      </w:r>
      <w:r w:rsidRPr="00472B28">
        <w:rPr>
          <w:rFonts w:asciiTheme="minorHAnsi" w:hAnsiTheme="minorHAnsi"/>
          <w:sz w:val="16"/>
        </w:rPr>
        <w:t xml:space="preserve"> </w:t>
      </w:r>
      <w:r w:rsidRPr="00472B28">
        <w:rPr>
          <w:rStyle w:val="StyleUnderline"/>
          <w:rFonts w:asciiTheme="minorHAnsi" w:hAnsiTheme="minorHAnsi"/>
        </w:rPr>
        <w:t>wetlands and other low lying habitats where fish reproduce will be covered by rising sea levels</w:t>
      </w:r>
      <w:r w:rsidRPr="00472B28">
        <w:rPr>
          <w:rFonts w:asciiTheme="minorHAnsi" w:hAnsiTheme="minorHAnsi"/>
          <w:sz w:val="12"/>
        </w:rPr>
        <w:t>¶</w:t>
      </w:r>
      <w:r w:rsidRPr="00472B28">
        <w:rPr>
          <w:rFonts w:asciiTheme="minorHAnsi" w:hAnsiTheme="minorHAnsi"/>
          <w:sz w:val="16"/>
        </w:rPr>
        <w:t xml:space="preserve"> </w:t>
      </w:r>
      <w:r w:rsidRPr="001D23AF">
        <w:rPr>
          <w:rStyle w:val="Emphasis"/>
        </w:rPr>
        <w:t>water in lakes will get warmer</w:t>
      </w:r>
      <w:r w:rsidRPr="00472B28">
        <w:rPr>
          <w:rFonts w:asciiTheme="minorHAnsi" w:hAnsiTheme="minorHAnsi"/>
          <w:sz w:val="12"/>
        </w:rPr>
        <w:t>¶</w:t>
      </w:r>
      <w:r w:rsidRPr="00472B28">
        <w:rPr>
          <w:rFonts w:asciiTheme="minorHAnsi" w:hAnsiTheme="minorHAnsi"/>
          <w:sz w:val="16"/>
        </w:rPr>
        <w:t xml:space="preserve"> bad weather may stop fishers going to sea</w:t>
      </w:r>
      <w:r w:rsidRPr="00472B28">
        <w:rPr>
          <w:rFonts w:asciiTheme="minorHAnsi" w:hAnsiTheme="minorHAnsi"/>
          <w:sz w:val="12"/>
        </w:rPr>
        <w:t>¶</w:t>
      </w:r>
      <w:r w:rsidRPr="00472B28">
        <w:rPr>
          <w:rFonts w:asciiTheme="minorHAnsi" w:hAnsiTheme="minorHAnsi"/>
          <w:sz w:val="16"/>
        </w:rPr>
        <w:t xml:space="preserve"> These changes may affect fisheries worldwide, but the impacts are likely to be particularly damaging for fishers in developing countries.</w:t>
      </w:r>
    </w:p>
    <w:p w:rsidR="008F6B0E" w:rsidRDefault="008F6B0E" w:rsidP="008F6B0E">
      <w:pPr>
        <w:rPr>
          <w:rStyle w:val="StyleUnderline"/>
        </w:rPr>
      </w:pPr>
    </w:p>
    <w:p w:rsidR="00FE5C8F" w:rsidRDefault="00FE5C8F" w:rsidP="00FE5C8F">
      <w:bookmarkStart w:id="0" w:name="_GoBack"/>
      <w:bookmarkEnd w:id="0"/>
    </w:p>
    <w:sectPr w:rsidR="00FE5C8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9DB6D4C8"/>
    <w:lvl w:ilvl="0">
      <w:start w:val="1"/>
      <w:numFmt w:val="decimal"/>
      <w:lvlText w:val="%1."/>
      <w:lvlJc w:val="left"/>
      <w:pPr>
        <w:tabs>
          <w:tab w:val="num" w:pos="1800"/>
        </w:tabs>
        <w:ind w:left="1800" w:hanging="360"/>
      </w:pPr>
    </w:lvl>
  </w:abstractNum>
  <w:abstractNum w:abstractNumId="1">
    <w:nsid w:val="FFFFFF7D"/>
    <w:multiLevelType w:val="singleLevel"/>
    <w:tmpl w:val="A4DAAE24"/>
    <w:lvl w:ilvl="0">
      <w:start w:val="1"/>
      <w:numFmt w:val="decimal"/>
      <w:lvlText w:val="%1."/>
      <w:lvlJc w:val="left"/>
      <w:pPr>
        <w:tabs>
          <w:tab w:val="num" w:pos="1440"/>
        </w:tabs>
        <w:ind w:left="1440" w:hanging="360"/>
      </w:pPr>
    </w:lvl>
  </w:abstractNum>
  <w:abstractNum w:abstractNumId="2">
    <w:nsid w:val="FFFFFF7E"/>
    <w:multiLevelType w:val="singleLevel"/>
    <w:tmpl w:val="56C88DA2"/>
    <w:lvl w:ilvl="0">
      <w:start w:val="1"/>
      <w:numFmt w:val="decimal"/>
      <w:lvlText w:val="%1."/>
      <w:lvlJc w:val="left"/>
      <w:pPr>
        <w:tabs>
          <w:tab w:val="num" w:pos="1080"/>
        </w:tabs>
        <w:ind w:left="1080" w:hanging="360"/>
      </w:pPr>
    </w:lvl>
  </w:abstractNum>
  <w:abstractNum w:abstractNumId="3">
    <w:nsid w:val="FFFFFF7F"/>
    <w:multiLevelType w:val="singleLevel"/>
    <w:tmpl w:val="0B5AE9C4"/>
    <w:lvl w:ilvl="0">
      <w:start w:val="1"/>
      <w:numFmt w:val="decimal"/>
      <w:lvlText w:val="%1."/>
      <w:lvlJc w:val="left"/>
      <w:pPr>
        <w:tabs>
          <w:tab w:val="num" w:pos="720"/>
        </w:tabs>
        <w:ind w:left="720" w:hanging="360"/>
      </w:pPr>
    </w:lvl>
  </w:abstractNum>
  <w:abstractNum w:abstractNumId="4">
    <w:nsid w:val="FFFFFF80"/>
    <w:multiLevelType w:val="singleLevel"/>
    <w:tmpl w:val="D7568DE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84D20108"/>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BFE06E5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C388EC32"/>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7576CBB0"/>
    <w:lvl w:ilvl="0">
      <w:start w:val="1"/>
      <w:numFmt w:val="decimal"/>
      <w:lvlText w:val="%1."/>
      <w:lvlJc w:val="left"/>
      <w:pPr>
        <w:tabs>
          <w:tab w:val="num" w:pos="360"/>
        </w:tabs>
        <w:ind w:left="360" w:hanging="360"/>
      </w:pPr>
    </w:lvl>
  </w:abstractNum>
  <w:abstractNum w:abstractNumId="9">
    <w:nsid w:val="FFFFFF89"/>
    <w:multiLevelType w:val="singleLevel"/>
    <w:tmpl w:val="D7C8D072"/>
    <w:lvl w:ilvl="0">
      <w:start w:val="1"/>
      <w:numFmt w:val="bullet"/>
      <w:lvlText w:val=""/>
      <w:lvlJc w:val="left"/>
      <w:pPr>
        <w:tabs>
          <w:tab w:val="num" w:pos="360"/>
        </w:tabs>
        <w:ind w:left="360" w:hanging="360"/>
      </w:pPr>
      <w:rPr>
        <w:rFonts w:ascii="Symbol" w:hAnsi="Symbol" w:hint="default"/>
      </w:rPr>
    </w:lvl>
  </w:abstractNum>
  <w:abstractNum w:abstractNumId="10">
    <w:nsid w:val="139E3908"/>
    <w:multiLevelType w:val="hybridMultilevel"/>
    <w:tmpl w:val="A0F0AB4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attachedTemplate r:id="rId1"/>
  <w:stylePaneFormatFilter w:val="D304" w:allStyles="0" w:customStyles="0" w:latentStyles="1" w:stylesInUse="0" w:headingStyles="0" w:numberingStyles="0" w:tableStyles="0" w:directFormattingOnRuns="1" w:directFormattingOnParagraphs="1" w:directFormattingOnNumbering="0" w:directFormattingOnTables="0" w:clearFormatting="1" w:top3HeadingStyles="0" w:visibleStyles="1" w:alternateStyleNames="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RibbonPointer" w:val="65717916"/>
    <w:docVar w:name="VerbatimVersion" w:val="5.0"/>
  </w:docVars>
  <w:rsids>
    <w:rsidRoot w:val="00FE5C8F"/>
    <w:rsid w:val="000139A3"/>
    <w:rsid w:val="00024E24"/>
    <w:rsid w:val="00073FA4"/>
    <w:rsid w:val="000B5F50"/>
    <w:rsid w:val="00100833"/>
    <w:rsid w:val="00104529"/>
    <w:rsid w:val="00106652"/>
    <w:rsid w:val="001616D9"/>
    <w:rsid w:val="00177B7D"/>
    <w:rsid w:val="0018322D"/>
    <w:rsid w:val="001B5776"/>
    <w:rsid w:val="001C7145"/>
    <w:rsid w:val="00217B59"/>
    <w:rsid w:val="00242168"/>
    <w:rsid w:val="00251FC7"/>
    <w:rsid w:val="002530C1"/>
    <w:rsid w:val="0025445B"/>
    <w:rsid w:val="002855A7"/>
    <w:rsid w:val="00295266"/>
    <w:rsid w:val="002A5E5B"/>
    <w:rsid w:val="002C0407"/>
    <w:rsid w:val="00315690"/>
    <w:rsid w:val="00325646"/>
    <w:rsid w:val="003416C1"/>
    <w:rsid w:val="00373CB8"/>
    <w:rsid w:val="003902BA"/>
    <w:rsid w:val="003910AF"/>
    <w:rsid w:val="003A09E2"/>
    <w:rsid w:val="003E2DCC"/>
    <w:rsid w:val="00407037"/>
    <w:rsid w:val="004257F5"/>
    <w:rsid w:val="004605D6"/>
    <w:rsid w:val="004908D5"/>
    <w:rsid w:val="00496D1D"/>
    <w:rsid w:val="004A75A4"/>
    <w:rsid w:val="004B31DE"/>
    <w:rsid w:val="004C60E8"/>
    <w:rsid w:val="004D3177"/>
    <w:rsid w:val="004E3579"/>
    <w:rsid w:val="004F39E0"/>
    <w:rsid w:val="00511D8C"/>
    <w:rsid w:val="005302B1"/>
    <w:rsid w:val="00537BD5"/>
    <w:rsid w:val="00552E55"/>
    <w:rsid w:val="00556539"/>
    <w:rsid w:val="00562E27"/>
    <w:rsid w:val="0057767D"/>
    <w:rsid w:val="005942BA"/>
    <w:rsid w:val="00596A75"/>
    <w:rsid w:val="005B419F"/>
    <w:rsid w:val="005F79F8"/>
    <w:rsid w:val="00601386"/>
    <w:rsid w:val="006065BD"/>
    <w:rsid w:val="00610B95"/>
    <w:rsid w:val="00665003"/>
    <w:rsid w:val="00686374"/>
    <w:rsid w:val="006A7583"/>
    <w:rsid w:val="006C0750"/>
    <w:rsid w:val="006D34C1"/>
    <w:rsid w:val="006D4209"/>
    <w:rsid w:val="006F0B7D"/>
    <w:rsid w:val="00701EBB"/>
    <w:rsid w:val="007056EF"/>
    <w:rsid w:val="00731A00"/>
    <w:rsid w:val="007847B3"/>
    <w:rsid w:val="007D73FE"/>
    <w:rsid w:val="007F5B66"/>
    <w:rsid w:val="007F6087"/>
    <w:rsid w:val="008039E7"/>
    <w:rsid w:val="00823A1C"/>
    <w:rsid w:val="00824FF3"/>
    <w:rsid w:val="00845B9D"/>
    <w:rsid w:val="00860984"/>
    <w:rsid w:val="0089199E"/>
    <w:rsid w:val="008A2E28"/>
    <w:rsid w:val="008A7862"/>
    <w:rsid w:val="008B3ECB"/>
    <w:rsid w:val="008C1B2E"/>
    <w:rsid w:val="008F51FB"/>
    <w:rsid w:val="008F6B0E"/>
    <w:rsid w:val="0091627E"/>
    <w:rsid w:val="00952EBE"/>
    <w:rsid w:val="009863C5"/>
    <w:rsid w:val="00993061"/>
    <w:rsid w:val="009A0796"/>
    <w:rsid w:val="009B1BA6"/>
    <w:rsid w:val="009E1922"/>
    <w:rsid w:val="009F7B21"/>
    <w:rsid w:val="00A23271"/>
    <w:rsid w:val="00A253D6"/>
    <w:rsid w:val="00A93661"/>
    <w:rsid w:val="00A95652"/>
    <w:rsid w:val="00B032F3"/>
    <w:rsid w:val="00B03CF8"/>
    <w:rsid w:val="00B14F0C"/>
    <w:rsid w:val="00B22250"/>
    <w:rsid w:val="00B333B5"/>
    <w:rsid w:val="00B33C6D"/>
    <w:rsid w:val="00B36F96"/>
    <w:rsid w:val="00B40B9D"/>
    <w:rsid w:val="00B4508F"/>
    <w:rsid w:val="00B626AE"/>
    <w:rsid w:val="00B8057C"/>
    <w:rsid w:val="00B8104C"/>
    <w:rsid w:val="00B82B11"/>
    <w:rsid w:val="00B96FF7"/>
    <w:rsid w:val="00BA3763"/>
    <w:rsid w:val="00BC261E"/>
    <w:rsid w:val="00BC6AF3"/>
    <w:rsid w:val="00BF593B"/>
    <w:rsid w:val="00C17522"/>
    <w:rsid w:val="00C25CFD"/>
    <w:rsid w:val="00C70215"/>
    <w:rsid w:val="00C83417"/>
    <w:rsid w:val="00CB01DD"/>
    <w:rsid w:val="00CB147C"/>
    <w:rsid w:val="00CD736E"/>
    <w:rsid w:val="00CE161E"/>
    <w:rsid w:val="00CE41E2"/>
    <w:rsid w:val="00CF59A8"/>
    <w:rsid w:val="00D27F80"/>
    <w:rsid w:val="00D325A9"/>
    <w:rsid w:val="00D36A8A"/>
    <w:rsid w:val="00D71170"/>
    <w:rsid w:val="00D84EF7"/>
    <w:rsid w:val="00DA6538"/>
    <w:rsid w:val="00DA7F52"/>
    <w:rsid w:val="00DB331E"/>
    <w:rsid w:val="00DD5508"/>
    <w:rsid w:val="00DE1A78"/>
    <w:rsid w:val="00DF2FC9"/>
    <w:rsid w:val="00E07593"/>
    <w:rsid w:val="00EA4474"/>
    <w:rsid w:val="00ED30CF"/>
    <w:rsid w:val="00F176EF"/>
    <w:rsid w:val="00F22CF2"/>
    <w:rsid w:val="00F3696A"/>
    <w:rsid w:val="00F85318"/>
    <w:rsid w:val="00FA051B"/>
    <w:rsid w:val="00FA7C68"/>
    <w:rsid w:val="00FE5C8F"/>
    <w:rsid w:val="00FF53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FC0CB28-1129-4993-8CAB-41B832FDC8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4" w:qFormat="1"/>
    <w:lsdException w:name="heading 1" w:uiPriority="0" w:qFormat="1"/>
    <w:lsdException w:name="heading 2" w:semiHidden="1" w:uiPriority="1" w:unhideWhenUsed="1" w:qFormat="1"/>
    <w:lsdException w:name="heading 3" w:semiHidden="1" w:uiPriority="2" w:unhideWhenUsed="1" w:qFormat="1"/>
    <w:lsdException w:name="heading 4" w:semiHidden="1" w:uiPriority="3"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7"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Normal/Card"/>
    <w:uiPriority w:val="4"/>
    <w:qFormat/>
    <w:rsid w:val="008F51FB"/>
    <w:rPr>
      <w:rFonts w:ascii="Calibri" w:hAnsi="Calibri"/>
    </w:rPr>
  </w:style>
  <w:style w:type="paragraph" w:styleId="Heading1">
    <w:name w:val="heading 1"/>
    <w:aliases w:val="Pocket"/>
    <w:basedOn w:val="Normal"/>
    <w:next w:val="Normal"/>
    <w:link w:val="Heading1Char"/>
    <w:autoRedefine/>
    <w:qFormat/>
    <w:rsid w:val="008F51FB"/>
    <w:pPr>
      <w:keepNext/>
      <w:keepLines/>
      <w:pageBreakBefore/>
      <w:pBdr>
        <w:top w:val="single" w:sz="24" w:space="1" w:color="auto"/>
        <w:left w:val="single" w:sz="24" w:space="4" w:color="auto"/>
        <w:bottom w:val="single" w:sz="24" w:space="1" w:color="auto"/>
        <w:right w:val="single" w:sz="24" w:space="4" w:color="auto"/>
      </w:pBdr>
      <w:spacing w:before="240" w:after="0"/>
      <w:jc w:val="center"/>
      <w:outlineLvl w:val="0"/>
    </w:pPr>
    <w:rPr>
      <w:rFonts w:eastAsiaTheme="majorEastAsia" w:cstheme="majorBidi"/>
      <w:b/>
      <w:sz w:val="52"/>
      <w:szCs w:val="32"/>
    </w:rPr>
  </w:style>
  <w:style w:type="paragraph" w:styleId="Heading2">
    <w:name w:val="heading 2"/>
    <w:aliases w:val="Hat"/>
    <w:basedOn w:val="Normal"/>
    <w:next w:val="Normal"/>
    <w:link w:val="Heading2Char"/>
    <w:autoRedefine/>
    <w:uiPriority w:val="1"/>
    <w:unhideWhenUsed/>
    <w:qFormat/>
    <w:rsid w:val="008F51FB"/>
    <w:pPr>
      <w:keepNext/>
      <w:keepLines/>
      <w:pageBreakBefore/>
      <w:spacing w:before="40" w:after="0"/>
      <w:jc w:val="center"/>
      <w:outlineLvl w:val="1"/>
    </w:pPr>
    <w:rPr>
      <w:rFonts w:eastAsiaTheme="majorEastAsia" w:cstheme="majorBidi"/>
      <w:b/>
      <w:sz w:val="44"/>
      <w:szCs w:val="26"/>
      <w:u w:val="double"/>
    </w:rPr>
  </w:style>
  <w:style w:type="paragraph" w:styleId="Heading3">
    <w:name w:val="heading 3"/>
    <w:aliases w:val="Block"/>
    <w:basedOn w:val="Normal"/>
    <w:next w:val="Normal"/>
    <w:link w:val="Heading3Char"/>
    <w:autoRedefine/>
    <w:uiPriority w:val="2"/>
    <w:unhideWhenUsed/>
    <w:qFormat/>
    <w:rsid w:val="008F51FB"/>
    <w:pPr>
      <w:keepNext/>
      <w:keepLines/>
      <w:pageBreakBefore/>
      <w:spacing w:before="40" w:after="0"/>
      <w:jc w:val="center"/>
      <w:outlineLvl w:val="2"/>
    </w:pPr>
    <w:rPr>
      <w:rFonts w:eastAsiaTheme="majorEastAsia" w:cstheme="majorBidi"/>
      <w:b/>
      <w:sz w:val="32"/>
      <w:szCs w:val="24"/>
      <w:u w:val="single"/>
    </w:rPr>
  </w:style>
  <w:style w:type="paragraph" w:styleId="Heading4">
    <w:name w:val="heading 4"/>
    <w:aliases w:val="Tag,Big card,body,small text,Normal Tag,heading 2,Ch, Ch,Heading 2 Char1 Char Char,Heading 2 Char2 Char,no read,No Spacing1121,No Spacing111111,No Spacing211,No Spacing12,No Spacing2111,TAG,No Spacing4,No Spacing11111,No Spacing5,No Spacing21"/>
    <w:basedOn w:val="Normal"/>
    <w:next w:val="Normal"/>
    <w:link w:val="Heading4Char"/>
    <w:autoRedefine/>
    <w:uiPriority w:val="3"/>
    <w:unhideWhenUsed/>
    <w:qFormat/>
    <w:rsid w:val="008F51FB"/>
    <w:pPr>
      <w:keepNext/>
      <w:keepLines/>
      <w:spacing w:before="40" w:after="0"/>
      <w:outlineLvl w:val="3"/>
    </w:pPr>
    <w:rPr>
      <w:rFonts w:eastAsiaTheme="majorEastAsia" w:cstheme="majorBidi"/>
      <w:b/>
      <w:i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ocket Char"/>
    <w:basedOn w:val="DefaultParagraphFont"/>
    <w:link w:val="Heading1"/>
    <w:rsid w:val="008F51FB"/>
    <w:rPr>
      <w:rFonts w:ascii="Calibri" w:eastAsiaTheme="majorEastAsia" w:hAnsi="Calibri" w:cstheme="majorBidi"/>
      <w:b/>
      <w:sz w:val="52"/>
      <w:szCs w:val="32"/>
    </w:rPr>
  </w:style>
  <w:style w:type="character" w:customStyle="1" w:styleId="Heading2Char">
    <w:name w:val="Heading 2 Char"/>
    <w:aliases w:val="Hat Char"/>
    <w:basedOn w:val="DefaultParagraphFont"/>
    <w:link w:val="Heading2"/>
    <w:uiPriority w:val="1"/>
    <w:rsid w:val="008F51FB"/>
    <w:rPr>
      <w:rFonts w:ascii="Calibri" w:eastAsiaTheme="majorEastAsia" w:hAnsi="Calibri" w:cstheme="majorBidi"/>
      <w:b/>
      <w:sz w:val="44"/>
      <w:szCs w:val="26"/>
      <w:u w:val="double"/>
    </w:rPr>
  </w:style>
  <w:style w:type="character" w:customStyle="1" w:styleId="Heading3Char">
    <w:name w:val="Heading 3 Char"/>
    <w:aliases w:val="Block Char"/>
    <w:basedOn w:val="DefaultParagraphFont"/>
    <w:link w:val="Heading3"/>
    <w:uiPriority w:val="2"/>
    <w:rsid w:val="008F51FB"/>
    <w:rPr>
      <w:rFonts w:ascii="Calibri" w:eastAsiaTheme="majorEastAsia" w:hAnsi="Calibri" w:cstheme="majorBidi"/>
      <w:b/>
      <w:sz w:val="32"/>
      <w:szCs w:val="24"/>
      <w:u w:val="single"/>
    </w:rPr>
  </w:style>
  <w:style w:type="character" w:customStyle="1" w:styleId="Heading4Char">
    <w:name w:val="Heading 4 Char"/>
    <w:aliases w:val="Tag Char,Big card Char,body Char,small text Char,Normal Tag Char,heading 2 Char,Ch Char, Ch Char,Heading 2 Char1 Char Char Char,Heading 2 Char2 Char Char,no read Char,No Spacing1121 Char,No Spacing111111 Char,No Spacing211 Char,TAG Char"/>
    <w:basedOn w:val="DefaultParagraphFont"/>
    <w:link w:val="Heading4"/>
    <w:uiPriority w:val="3"/>
    <w:rsid w:val="008F51FB"/>
    <w:rPr>
      <w:rFonts w:ascii="Calibri" w:eastAsiaTheme="majorEastAsia" w:hAnsi="Calibri" w:cstheme="majorBidi"/>
      <w:b/>
      <w:iCs/>
      <w:sz w:val="26"/>
    </w:rPr>
  </w:style>
  <w:style w:type="character" w:styleId="Emphasis">
    <w:name w:val="Emphasis"/>
    <w:aliases w:val="Evidence,Minimized,minimized,Highlighted,tag2,Size 10,emphasis in card,CD Card,ED - Tag,Underlined,emphasis,Bold Underline,Emphasis!!,small,Qualifications,normal card text,Shrunk,qualifications in card,qualifications,bold underline"/>
    <w:basedOn w:val="DefaultParagraphFont"/>
    <w:uiPriority w:val="7"/>
    <w:qFormat/>
    <w:rsid w:val="008F51FB"/>
    <w:rPr>
      <w:rFonts w:ascii="Calibri" w:hAnsi="Calibri"/>
      <w:b/>
      <w:i w:val="0"/>
      <w:iCs/>
      <w:sz w:val="22"/>
      <w:u w:val="single"/>
      <w:bdr w:val="none" w:sz="0" w:space="0" w:color="auto"/>
    </w:rPr>
  </w:style>
  <w:style w:type="character" w:customStyle="1" w:styleId="Style13ptBold">
    <w:name w:val="Style 13 pt Bold"/>
    <w:aliases w:val="Cite,Style Style Bold + 12 pt,Style Style Bold,Style Style Bold + 12pt,Style Style + 12 pt,Style Style Bo... +,Old Cite,Style Style Bold + 10 pt,tagld + 12 pt,Style Style Bold + 13 pt,Style Style Bold + 11 pt,tag + 12 pt,Not..."/>
    <w:basedOn w:val="DefaultParagraphFont"/>
    <w:uiPriority w:val="5"/>
    <w:qFormat/>
    <w:rsid w:val="008F51FB"/>
    <w:rPr>
      <w:b/>
      <w:bCs/>
      <w:sz w:val="26"/>
      <w:u w:val="none"/>
    </w:rPr>
  </w:style>
  <w:style w:type="character" w:customStyle="1" w:styleId="StyleUnderline">
    <w:name w:val="Style Underline"/>
    <w:aliases w:val="Underline,Style Bold Underline,apple-style-span + 6 pt,Bold,Kern at 16 pt,Intense Emphasis1,Intense Emphasis2,HHeading 3 + 12 pt,Minimized Char,Heading 3 Char Char Char Char Char,c,Citation Char Char Char,Style,ci,Intense Emphasis3,Bo"/>
    <w:basedOn w:val="DefaultParagraphFont"/>
    <w:uiPriority w:val="6"/>
    <w:qFormat/>
    <w:rsid w:val="008F51FB"/>
    <w:rPr>
      <w:b w:val="0"/>
      <w:sz w:val="22"/>
      <w:u w:val="single"/>
    </w:rPr>
  </w:style>
  <w:style w:type="character" w:styleId="Hyperlink">
    <w:name w:val="Hyperlink"/>
    <w:aliases w:val="Read,Important,heading 1 (block title),Card Text,Internet Link"/>
    <w:basedOn w:val="DefaultParagraphFont"/>
    <w:uiPriority w:val="99"/>
    <w:unhideWhenUsed/>
    <w:rsid w:val="008F51FB"/>
    <w:rPr>
      <w:color w:val="auto"/>
      <w:u w:val="none"/>
    </w:rPr>
  </w:style>
  <w:style w:type="character" w:styleId="FollowedHyperlink">
    <w:name w:val="FollowedHyperlink"/>
    <w:basedOn w:val="DefaultParagraphFont"/>
    <w:uiPriority w:val="99"/>
    <w:semiHidden/>
    <w:unhideWhenUsed/>
    <w:rsid w:val="008F51FB"/>
    <w:rPr>
      <w:color w:val="auto"/>
      <w:u w:val="none"/>
    </w:rPr>
  </w:style>
  <w:style w:type="paragraph" w:customStyle="1" w:styleId="card">
    <w:name w:val="card"/>
    <w:basedOn w:val="Normal"/>
    <w:next w:val="Normal"/>
    <w:link w:val="cardChar"/>
    <w:qFormat/>
    <w:rsid w:val="00DD5508"/>
    <w:pPr>
      <w:ind w:left="288" w:right="288"/>
    </w:pPr>
    <w:rPr>
      <w:rFonts w:eastAsia="Times New Roman" w:cs="Times New Roman"/>
    </w:rPr>
  </w:style>
  <w:style w:type="character" w:customStyle="1" w:styleId="cardChar">
    <w:name w:val="card Char"/>
    <w:link w:val="card"/>
    <w:rsid w:val="00DD5508"/>
    <w:rPr>
      <w:rFonts w:ascii="Calibri" w:eastAsia="Times New Roman" w:hAnsi="Calibri" w:cs="Times New Roman"/>
    </w:rPr>
  </w:style>
  <w:style w:type="paragraph" w:styleId="NormalWeb">
    <w:name w:val="Normal (Web)"/>
    <w:basedOn w:val="Normal"/>
    <w:uiPriority w:val="99"/>
    <w:semiHidden/>
    <w:unhideWhenUsed/>
    <w:rsid w:val="00B82B11"/>
    <w:pPr>
      <w:spacing w:before="100" w:beforeAutospacing="1" w:after="100" w:afterAutospacing="1"/>
    </w:pPr>
    <w:rPr>
      <w:rFonts w:ascii="Times" w:hAnsi="Times" w:cs="Times New Roman"/>
      <w:sz w:val="20"/>
      <w:szCs w:val="20"/>
    </w:rPr>
  </w:style>
  <w:style w:type="character" w:customStyle="1" w:styleId="apple-converted-space">
    <w:name w:val="apple-converted-space"/>
    <w:basedOn w:val="DefaultParagraphFont"/>
    <w:rsid w:val="00B82B11"/>
  </w:style>
  <w:style w:type="character" w:customStyle="1" w:styleId="Style11ptBlackUnderline">
    <w:name w:val="Style 11 pt Black Underline"/>
    <w:basedOn w:val="DefaultParagraphFont"/>
    <w:rsid w:val="00CB147C"/>
    <w:rPr>
      <w:color w:val="000000"/>
      <w:sz w:val="20"/>
      <w:u w:val="single"/>
    </w:rPr>
  </w:style>
  <w:style w:type="character" w:customStyle="1" w:styleId="Style11ptBlack">
    <w:name w:val="Style 11 pt Black"/>
    <w:basedOn w:val="DefaultParagraphFont"/>
    <w:rsid w:val="00CB147C"/>
    <w:rPr>
      <w:color w:val="000000"/>
      <w:sz w:val="20"/>
    </w:rPr>
  </w:style>
  <w:style w:type="character" w:customStyle="1" w:styleId="StyleDate">
    <w:name w:val="Style Date"/>
    <w:aliases w:val="Author"/>
    <w:basedOn w:val="DefaultParagraphFont"/>
    <w:uiPriority w:val="1"/>
    <w:qFormat/>
    <w:rsid w:val="0025445B"/>
    <w:rPr>
      <w:rFonts w:ascii="Georgia" w:hAnsi="Georgia"/>
      <w:b/>
      <w:sz w:val="24"/>
      <w:u w:val="single"/>
    </w:rPr>
  </w:style>
  <w:style w:type="paragraph" w:customStyle="1" w:styleId="underlined">
    <w:name w:val="underlined"/>
    <w:next w:val="Normal"/>
    <w:link w:val="underlinedChar"/>
    <w:autoRedefine/>
    <w:rsid w:val="006D34C1"/>
    <w:pPr>
      <w:spacing w:after="0" w:line="240" w:lineRule="auto"/>
      <w:contextualSpacing/>
    </w:pPr>
    <w:rPr>
      <w:rFonts w:ascii="Times New Roman" w:eastAsia="Malgun Gothic" w:hAnsi="Times New Roman" w:cs="Times New Roman"/>
      <w:sz w:val="24"/>
      <w:szCs w:val="24"/>
      <w:u w:val="single"/>
    </w:rPr>
  </w:style>
  <w:style w:type="character" w:customStyle="1" w:styleId="underlinedChar">
    <w:name w:val="underlined Char"/>
    <w:link w:val="underlined"/>
    <w:rsid w:val="006D34C1"/>
    <w:rPr>
      <w:rFonts w:ascii="Times New Roman" w:eastAsia="Malgun Gothic" w:hAnsi="Times New Roman" w:cs="Times New Roman"/>
      <w:sz w:val="24"/>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2844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msc.org/about-us/program-improvements%207/4/14" TargetMode="Externa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rah\AppData\Roaming\Microsoft\Templates\Deb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Debate</Template>
  <TotalTime>1</TotalTime>
  <Pages>3</Pages>
  <Words>1430</Words>
  <Characters>8151</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Weiner</dc:creator>
  <cp:keywords>5.0</cp:keywords>
  <cp:lastModifiedBy>Mike Baxter-Kauf</cp:lastModifiedBy>
  <cp:revision>2</cp:revision>
  <dcterms:created xsi:type="dcterms:W3CDTF">2014-08-15T01:53:00Z</dcterms:created>
  <dcterms:modified xsi:type="dcterms:W3CDTF">2014-08-15T01:53:00Z</dcterms:modified>
</cp:coreProperties>
</file>